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26-83</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307</w:t>
      </w:r>
    </w:p>
    <w:p>
      <w:pPr>
        <w:spacing w:before="0" w:after="0" w:line="480"/>
        <w:ind w:left="120"/>
        <w:jc w:val="center"/>
      </w:pPr>
      <w:r>
        <w:rPr>
          <w:rFonts w:ascii="Times New Roman" w:hAnsi="Times New Roman"/>
          <w:b w:val="false"/>
          <w:i w:val="false"/>
          <w:color w:val="000000"/>
          <w:sz w:val="24"/>
        </w:rPr>
        <w:t>“Art Project Grant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15.106A(1)“m” and 17A.7(3)</w:t>
      </w:r>
    </w:p>
    <w:p>
      <w:pPr>
        <w:spacing w:before="0" w:after="0" w:line="480"/>
        <w:ind w:left="120"/>
        <w:jc w:val="both"/>
      </w:pPr>
      <w:r>
        <w:rPr>
          <w:rFonts w:ascii="Times New Roman" w:hAnsi="Times New Roman"/>
          <w:b w:val="false"/>
          <w:i w:val="false"/>
          <w:color w:val="000000"/>
          <w:sz w:val="24"/>
        </w:rPr>
        <w:t>State or federal law(s) implemented by the rulemaking: Iowa Code sections 15.106A(1)“m,” 15.436 and 15.467 and 2 CFR Part 200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9:15 to 9:30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521"/>
      </w:tblGrid>
      <w:tr>
        <w:trPr>
          <w:trHeight w:val="2430" w:hRule="atLeast"/>
        </w:trPr>
        <w:tc>
          <w:tcPr>
            <w:tcW w:w="55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Christopher West</w:t>
            </w:r>
            <w:r>
              <w:br/>
            </w:r>
            <w:r>
              <w:rPr>
                <w:rFonts w:ascii="Times New Roman" w:hAnsi="Times New Roman"/>
                <w:b w:val="false"/>
                <w:i w:val="false"/>
                <w:color w:val="000000"/>
                <w:sz w:val="21"/>
              </w:rPr>
              <w:t>Iowa Economic Development Authority</w:t>
            </w:r>
            <w:r>
              <w:br/>
            </w:r>
            <w:r>
              <w:rPr>
                <w:rFonts w:ascii="Times New Roman" w:hAnsi="Times New Roman"/>
                <w:b w:val="false"/>
                <w:i w:val="false"/>
                <w:color w:val="000000"/>
                <w:sz w:val="21"/>
              </w:rPr>
              <w:t>1963 Bell Avenue, Suite 200</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christopher.west@iowafinance.com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307 and adopt a new chapter in lieu thereof. The chapter describes the Art Project Grant Program. The program provides financial support for high-quality and publicly accessible art projects in Iowa.</w:t>
      </w:r>
    </w:p>
    <w:p>
      <w:pPr>
        <w:spacing w:before="0" w:after="0" w:line="480"/>
        <w:ind w:left="120"/>
        <w:jc w:val="both"/>
      </w:pPr>
      <w:r>
        <w:rPr>
          <w:rFonts w:ascii="Times New Roman" w:hAnsi="Times New Roman"/>
          <w:b w:val="false"/>
          <w:i w:val="false"/>
          <w:color w:val="000000"/>
          <w:sz w:val="24"/>
        </w:rPr>
        <w:t>    The updated chapter implements the consolidation of arts appropriations and programs in 2025 Iowa Acts, House File 975. The legislation authorized creation of an Arts and Culture Enhancement Fund, which will be utilized for broad purposes related to the arts, including the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who apply and are approved for program grants may benefit from the improved clarity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Persons who apply and are approved for program grants may benefit from the improved clarity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administer the program covered in the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has no anticipated impact on State revenues. In addition to moneys available in the Arts and Culture Enhancement Fund established pursuant to Iowa Code section 15.436, funding from the National Endowment for the Arts may also be used for the purposes described in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307</w:t>
      </w:r>
    </w:p>
    <w:p>
      <w:pPr>
        <w:spacing w:before="0" w:after="0" w:line="480"/>
        <w:ind w:left="120"/>
        <w:jc w:val="center"/>
      </w:pPr>
      <w:r>
        <w:rPr>
          <w:rFonts w:ascii="Times New Roman" w:hAnsi="Times New Roman"/>
          <w:b w:val="false"/>
          <w:i w:val="false"/>
          <w:color w:val="000000"/>
          <w:sz w:val="21"/>
        </w:rPr>
        <w:t>ART PROJECT GRANT PROGRAM</w:t>
      </w:r>
    </w:p>
    <w:p>
      <w:pPr>
        <w:spacing w:before="210" w:after="0" w:line="480"/>
        <w:ind w:left="120"/>
        <w:jc w:val="both"/>
      </w:pPr>
      <w:r>
        <w:rPr>
          <w:rFonts w:ascii="Times New Roman" w:hAnsi="Times New Roman"/>
          <w:b/>
          <w:i w:val="false"/>
          <w:color w:val="000000"/>
          <w:sz w:val="24"/>
        </w:rPr>
        <w:t>261—307.1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The art project grant program (program) provides financial support for high-quality and publicly accessible art projects in Iowa.</w:t>
      </w:r>
    </w:p>
    <w:p>
      <w:pPr>
        <w:spacing w:before="210" w:after="0" w:line="480"/>
        <w:ind w:left="120"/>
        <w:jc w:val="both"/>
      </w:pPr>
      <w:r>
        <w:rPr>
          <w:rFonts w:ascii="Times New Roman" w:hAnsi="Times New Roman"/>
          <w:b/>
          <w:i w:val="false"/>
          <w:color w:val="000000"/>
          <w:sz w:val="24"/>
        </w:rPr>
        <w:t>261—307.2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listed in </w:t>
      </w:r>
      <w:hyperlink r:id="rId6">
        <w:r>
          <w:rPr>
            <w:rStyle w:val="Hyperlink"/>
            <w:rFonts w:ascii="Times New Roman" w:hAnsi="Times New Roman"/>
            <w:b w:val="false"/>
            <w:i w:val="false"/>
            <w:color w:val="000000"/>
            <w:sz w:val="24"/>
          </w:rPr>
          <w:t>261—Chapter 305</w:t>
        </w:r>
      </w:hyperlink>
      <w:r>
        <w:rPr>
          <w:rFonts w:ascii="Times New Roman" w:hAnsi="Times New Roman"/>
          <w:b w:val="false"/>
          <w:i w:val="false"/>
          <w:color w:val="000000"/>
          <w:sz w:val="24"/>
        </w:rPr>
        <w:t xml:space="preserve"> apply to this chapter.</w:t>
      </w:r>
    </w:p>
    <w:p>
      <w:pPr>
        <w:spacing w:before="0" w:after="0" w:line="480"/>
        <w:ind w:left="120"/>
        <w:jc w:val="both"/>
      </w:pPr>
      <w:r>
        <w:rPr>
          <w:rFonts w:ascii="Times New Roman" w:hAnsi="Times New Roman"/>
          <w:b/>
          <w:i w:val="false"/>
          <w:color w:val="000000"/>
          <w:sz w:val="24"/>
        </w:rPr>
        <w:t>261—307.3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 xml:space="preserve">To be eligible for program funding, an applicant must qualify either as an eligible entity under subrule </w:t>
      </w:r>
      <w:hyperlink r:id="rId7">
        <w:r>
          <w:rPr>
            <w:rStyle w:val="Hyperlink"/>
            <w:rFonts w:ascii="Times New Roman" w:hAnsi="Times New Roman"/>
            <w:b w:val="false"/>
            <w:i w:val="false"/>
            <w:color w:val="000000"/>
            <w:sz w:val="24"/>
          </w:rPr>
          <w:t>307.3(1)</w:t>
        </w:r>
      </w:hyperlink>
      <w:r>
        <w:rPr>
          <w:rFonts w:ascii="Times New Roman" w:hAnsi="Times New Roman"/>
          <w:b w:val="false"/>
          <w:i w:val="false"/>
          <w:color w:val="000000"/>
          <w:sz w:val="24"/>
        </w:rPr>
        <w:t xml:space="preserve"> or as an eligible individual under subrule </w:t>
      </w:r>
      <w:hyperlink r:id="rId8">
        <w:r>
          <w:rPr>
            <w:rStyle w:val="Hyperlink"/>
            <w:rFonts w:ascii="Times New Roman" w:hAnsi="Times New Roman"/>
            <w:b w:val="false"/>
            <w:i w:val="false"/>
            <w:color w:val="000000"/>
            <w:sz w:val="24"/>
          </w:rPr>
          <w:t>307.3(2)</w:t>
        </w:r>
      </w:hyperlink>
      <w:r>
        <w:rPr>
          <w:rFonts w:ascii="Times New Roman" w:hAnsi="Times New Roman"/>
          <w:b w:val="false"/>
          <w:i w:val="false"/>
          <w:color w:val="000000"/>
          <w:sz w:val="24"/>
        </w:rPr>
        <w:t xml:space="preserve"> and otherwise meet the requirements of rule </w:t>
      </w:r>
      <w:hyperlink r:id="rId9">
        <w:r>
          <w:rPr>
            <w:rStyle w:val="Hyperlink"/>
            <w:rFonts w:ascii="Times New Roman" w:hAnsi="Times New Roman"/>
            <w:b w:val="false"/>
            <w:i w:val="false"/>
            <w:color w:val="000000"/>
            <w:sz w:val="24"/>
          </w:rPr>
          <w:t>261—305.4</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w:t>
      </w:r>
      <w:r>
        <w:rPr>
          <w:rFonts w:ascii="Times New Roman" w:hAnsi="Times New Roman"/>
          <w:b w:val="false"/>
          <w:i w:val="false"/>
          <w:color w:val="000000"/>
          <w:sz w:val="24"/>
        </w:rPr>
        <w:t> </w:t>
      </w:r>
      <w:r>
        <w:rPr>
          <w:rFonts w:ascii="Times New Roman" w:hAnsi="Times New Roman"/>
          <w:b w:val="false"/>
          <w:i w:val="false"/>
          <w:color w:val="000000"/>
          <w:sz w:val="24"/>
        </w:rPr>
        <w:t>Entities applying for an award must fall into one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Active Iowa nonprofit organization registered with the Iowa secretary of state, exempt from federal taxes under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§501(c)(3), and physically located within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Nonprofit organization physically located within a border city and meeting the requirements of </w:t>
      </w:r>
      <w:hyperlink r:id="rId10">
        <w:r>
          <w:rPr>
            <w:rStyle w:val="Hyperlink"/>
            <w:rFonts w:ascii="Times New Roman" w:hAnsi="Times New Roman"/>
            <w:b w:val="false"/>
            <w:i w:val="false"/>
            <w:color w:val="000000"/>
            <w:sz w:val="24"/>
          </w:rPr>
          <w:t>261—subrule 305.4(2)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Nonprofit organization that has not yet achieved federal tax-exempt status, but otherwise meets the eligibility requirements in these rules, that is applying through a project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Educational institution, educational organization, or K-12 school whose primary orientation, mission, and purposes are education, awarding academic credits,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Unit of local, county, state, or federally recognized tribal government physically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307.3(2)</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applying for an award must meet the definition of “artist” in rule </w:t>
      </w:r>
      <w:hyperlink r:id="rId11">
        <w:r>
          <w:rPr>
            <w:rStyle w:val="Hyperlink"/>
            <w:rFonts w:ascii="Times New Roman" w:hAnsi="Times New Roman"/>
            <w:b w:val="false"/>
            <w:i w:val="false"/>
            <w:color w:val="000000"/>
            <w:sz w:val="24"/>
          </w:rPr>
          <w:t>261—305.1</w:t>
        </w:r>
      </w:hyperlink>
      <w:r>
        <w:rPr>
          <w:rFonts w:ascii="Times New Roman" w:hAnsi="Times New Roman"/>
          <w:b w:val="false"/>
          <w:i w:val="false"/>
          <w:color w:val="000000"/>
          <w:sz w:val="24"/>
        </w:rPr>
        <w:t xml:space="preserve">(15) by creating, practicing, or producing work as a visual or performing artist, filmmaker, musician, or creative writer and must otherwise meet the requirements of rule </w:t>
      </w:r>
      <w:hyperlink r:id="rId12">
        <w:r>
          <w:rPr>
            <w:rStyle w:val="Hyperlink"/>
            <w:rFonts w:ascii="Times New Roman" w:hAnsi="Times New Roman"/>
            <w:b w:val="false"/>
            <w:i w:val="false"/>
            <w:color w:val="000000"/>
            <w:sz w:val="24"/>
          </w:rPr>
          <w:t>261—305.4</w:t>
        </w:r>
      </w:hyperlink>
      <w:r>
        <w:rPr>
          <w:rFonts w:ascii="Times New Roman" w:hAnsi="Times New Roman"/>
          <w:b w:val="false"/>
          <w:i w:val="false"/>
          <w:color w:val="000000"/>
          <w:sz w:val="24"/>
        </w:rPr>
        <w:t>(15).</w:t>
      </w:r>
    </w:p>
    <w:p>
      <w:pPr>
        <w:spacing w:before="210" w:after="0" w:line="480"/>
        <w:ind w:left="120"/>
        <w:jc w:val="both"/>
      </w:pPr>
      <w:r>
        <w:rPr>
          <w:rFonts w:ascii="Times New Roman" w:hAnsi="Times New Roman"/>
          <w:b/>
          <w:i w:val="false"/>
          <w:color w:val="000000"/>
          <w:sz w:val="24"/>
        </w:rPr>
        <w:t>261—307.4</w:t>
      </w:r>
      <w:r>
        <w:rPr>
          <w:rFonts w:ascii="Times New Roman" w:hAnsi="Times New Roman"/>
          <w:b/>
          <w:i w:val="false"/>
          <w:color w:val="000000"/>
          <w:sz w:val="24"/>
        </w:rPr>
        <w:t xml:space="preserve">(15) </w:t>
      </w:r>
      <w:r>
        <w:rPr>
          <w:rFonts w:ascii="Times New Roman" w:hAnsi="Times New Roman"/>
          <w:b/>
          <w:i w:val="false"/>
          <w:color w:val="000000"/>
          <w:sz w:val="24"/>
        </w:rPr>
        <w:t xml:space="preserve">Funding priorities. </w:t>
      </w:r>
      <w:r>
        <w:rPr>
          <w:rFonts w:ascii="Times New Roman" w:hAnsi="Times New Roman"/>
          <w:b w:val="false"/>
          <w:i w:val="false"/>
          <w:color w:val="000000"/>
          <w:sz w:val="24"/>
        </w:rPr>
        <w:t>Priority will be given to first-time applicants and applicants who have not received funding from any authority arts program in the two fiscal years prior to the application date. The authority places a high priority on projects that include artistic excellence; involve an arts experience, arts learning activity, or arts professional development activity; and are of public value to Iowans through deliberate public engagement and access to project activities.</w:t>
      </w:r>
    </w:p>
    <w:p>
      <w:pPr>
        <w:spacing w:before="210" w:after="0" w:line="480"/>
        <w:ind w:left="120"/>
        <w:jc w:val="both"/>
      </w:pPr>
      <w:r>
        <w:rPr>
          <w:rFonts w:ascii="Times New Roman" w:hAnsi="Times New Roman"/>
          <w:b/>
          <w:i w:val="false"/>
          <w:color w:val="000000"/>
          <w:sz w:val="24"/>
        </w:rPr>
        <w:t>261—307.5</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projects. </w:t>
      </w:r>
      <w:r>
        <w:rPr>
          <w:rFonts w:ascii="Times New Roman" w:hAnsi="Times New Roman"/>
          <w:b w:val="false"/>
          <w:i w:val="false"/>
          <w:color w:val="000000"/>
          <w:sz w:val="24"/>
        </w:rPr>
        <w:t>Applicants must demonstrate broad-based community engagement and programming surrounding their projects. Types of eligible projects include community events, performances, exhibitions, festivals, conferences, or workshops dedicated to arts-related activities. Projects may represent a phase of a larger project with a longer timeline, but all project activities must have a beginning and end date during the program funding period.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3">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15.467</w:t>
        </w:r>
      </w:hyperlink>
      <w:r>
        <w:rPr>
          <w:rFonts w:ascii="Times New Roman" w:hAnsi="Times New Roman"/>
          <w:b w:val="false"/>
          <w:i w:val="false"/>
          <w:color w:val="000000"/>
          <w:sz w:val="24"/>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christopher.west@iowafinance.com" Type="http://schemas.openxmlformats.org/officeDocument/2006/relationships/hyperlink" Id="rId5"/>
    <Relationship TargetMode="External" Target="https://www.legis.iowa.gov/docs/iac/chapter/261.305.pdf" Type="http://schemas.openxmlformats.org/officeDocument/2006/relationships/hyperlink" Id="rId6"/>
    <Relationship TargetMode="External" Target="https://www.legis.iowa.gov/docs/iac/rule/261.307.3.pdf" Type="http://schemas.openxmlformats.org/officeDocument/2006/relationships/hyperlink" Id="rId7"/>
    <Relationship TargetMode="External" Target="https://www.legis.iowa.gov/docs/iac/rule/261.307.3.pdf" Type="http://schemas.openxmlformats.org/officeDocument/2006/relationships/hyperlink" Id="rId8"/>
    <Relationship TargetMode="External" Target="https://www.legis.iowa.gov/docs/iac/rule/261.305.4.pdf" Type="http://schemas.openxmlformats.org/officeDocument/2006/relationships/hyperlink" Id="rId9"/>
    <Relationship TargetMode="External" Target="https://www.legis.iowa.gov/docs/iac/rule/261.305.4.pdf" Type="http://schemas.openxmlformats.org/officeDocument/2006/relationships/hyperlink" Id="rId10"/>
    <Relationship TargetMode="External" Target="https://www.legis.iowa.gov/docs/iac/rule/261.305.1.pdf" Type="http://schemas.openxmlformats.org/officeDocument/2006/relationships/hyperlink" Id="rId11"/>
    <Relationship TargetMode="External" Target="https://www.legis.iowa.gov/docs/iac/rule/261.305.4.pdf" Type="http://schemas.openxmlformats.org/officeDocument/2006/relationships/hyperlink" Id="rId12"/>
    <Relationship TargetMode="External" Target="https://www.legis.iowa.gov/docs/ico/chapter/15.436.pdf" Type="http://schemas.openxmlformats.org/officeDocument/2006/relationships/hyperlink" Id="rId13"/>
    <Relationship TargetMode="External" Target="https://www.legis.iowa.gov/docs/ico/chapter/15.467.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